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highlight w:val="none"/>
        </w:rPr>
      </w:pPr>
      <w:r>
        <w:t xml:space="preserve">Информация к совещанию с кадастровыми инженерами </w:t>
      </w:r>
      <w:r/>
    </w:p>
    <w:p>
      <w:pPr>
        <w:jc w:val="center"/>
        <w:rPr>
          <w:highlight w:val="none"/>
        </w:rPr>
      </w:pPr>
      <w:r>
        <w:rPr>
          <w:highlight w:val="none"/>
        </w:rPr>
        <w:t xml:space="preserve">29.12.2025</w:t>
      </w:r>
      <w:r>
        <w:rPr>
          <w:highlight w:val="none"/>
        </w:rPr>
      </w:r>
    </w:p>
    <w:p>
      <w:pPr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Кадастровые инженеры при обосновании года завершения строительства представляют позицию Росреестра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от 31.03.2025 № 13-00448/25. Возможно ли тер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риториальным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органам руководствоваться данной позицией при проведении правовой экспертизы? Может ли год завершения указываться в соответствии с приложенной к тех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ническому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плану декларацией?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23" w:firstLine="685"/>
        <w:jc w:val="both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Письмо, указанное в вопросе, было направлено в ответ на обращение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СРО</w:t>
      </w:r>
      <w:r>
        <w:rPr>
          <w:rStyle w:val="847"/>
          <w:rFonts w:ascii="Liberation Serif" w:hAnsi="Liberation Serif" w:eastAsia="Liberation Serif" w:cs="Liberation Serif"/>
          <w:sz w:val="24"/>
          <w:szCs w:val="24"/>
        </w:rPr>
        <w:footnoteReference w:id="2"/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 касающееся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указания в декларации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об объекте недвижимости и, соответственно, в техническом пла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фактического завершения года строительства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объекта недвижимости, являющегося годом завершения строительных работ.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 данному вопросу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рекомендуем руководствоваться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следующ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им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Закон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ом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№ 218-ФЗ предусмотрено указание в ЕГРН в качестве основных таких сведений как «год ввода в эксплуатацию» здания или сооружения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по завершении его строительства, либо «год завершения строительства» таких объектов недвижимости, если в соответствии с федеральным законом выдача разрешения на ввод объекта в эксплуатацию не предусматривается (пункт 18 части 4 статьи 8 Закона № 218-ФЗ).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Формой технического плана,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Требования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ми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№ П/0082</w:t>
      </w:r>
      <w:r>
        <w:rPr>
          <w:rStyle w:val="847"/>
          <w:rFonts w:ascii="Liberation Serif" w:hAnsi="Liberation Serif" w:eastAsia="Liberation Serif" w:cs="Liberation Serif"/>
          <w:sz w:val="24"/>
          <w:szCs w:val="24"/>
        </w:rPr>
        <w:footnoteReference w:id="3"/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(см.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подпункты 13, 14 и 15 пункта 51) также предусмотрено указание в техническом плане здания или сооружения: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года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ввода в эксплуатацию здания или сооружения по окончании его строительства, если объектом недвижимости является здание или сооружение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; в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случае п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одготовки технического плана с целью получения застройщиком разрешения на ввод объекта в эксплуатацию допустимо (не является нарушением Требований № П/0082) указание года ввода объекта в эксплуатацию, не соответствующего году ввода в эксплуатацию, указанно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му в разрешении на ввод объекта в эксплуатацию, приложением к которому будет являться (является) технический план, если указанный в техническом плане год ввода объекта в эксплуатацию соответствует году подготовки окончательной редакции технического плана;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год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завершения строительства объектов недвижимости, если в соответствии с федеральным законом выдача разрешения на ввод объекта в эксплуатацию не предусматривается;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век (период) постройки объектов недвижимости, законченных строительством до 1917 года, в том числе объектов культурного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наследия (памятников истории и культуры) народов Российской Федерации (например, 17 век, конец 16 века). 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Закон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ом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№ 487-ФЗ</w:t>
      </w:r>
      <w:r>
        <w:rPr>
          <w:rStyle w:val="847"/>
          <w:rFonts w:ascii="Liberation Serif" w:hAnsi="Liberation Serif" w:eastAsia="Liberation Serif" w:cs="Liberation Serif"/>
          <w:sz w:val="24"/>
          <w:szCs w:val="24"/>
        </w:rPr>
        <w:footnoteReference w:id="4"/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были внесены изменения в целый ряд федеральных законов, в том числе в ГрК</w:t>
      </w:r>
      <w:r>
        <w:rPr>
          <w:rStyle w:val="847"/>
          <w:rFonts w:ascii="Liberation Serif" w:hAnsi="Liberation Serif" w:eastAsia="Liberation Serif" w:cs="Liberation Serif"/>
          <w:sz w:val="24"/>
          <w:szCs w:val="24"/>
        </w:rPr>
        <w:footnoteReference w:id="5"/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 части установления положений, определяющих момент завершения строительства объекта капитального строительства.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Необходимо отметить, что до вступления в силу Закона № 487-ФЗ отсутствовало регулирование вопроса завершения строительства объект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ов, для строительства или реконструкции которых в силу положений ГрК получение разрешения на строительства не требовалось. Иными словами, в законодательстве отсутствовали единые правила определения такой характеристики объектов капитального строительства.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После вступления в силу Закона № 487-ФЗ статья 52 ГрК дополнена частями 12 – 15, согласно которым: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– строительство или реконструкция здания, сооружения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считаются завершенными со дня: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1) получения разрешения на ввод в эксплуатацию здания или сооружения в случае, если для строительства или реконструкции таких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здания или сооружения требуется получение разрешения на строительство;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2) получения уведомления о соответствии построенных или реконструированных объекта индивиду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ального жилищного строительства или садового дома требованиям законодательства о градостроительной деятельности, за исключением случаев, если строительство таких объектов капитального строительства осуществлялось без получения уведомлений, предусмотренных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          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статьей 51.1 и частью 16 статьи 55 ГрК (часть 12);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– в случае, если в соответствии с частью 17 статьи 51 ГрК для строительства или реконструкции здания, сооружения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не требуются получение разрешения на строительство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и (или) подготовка проектной документации, строительство или реконструкция здания или сооружения (помещений или машино-мест в таких здании или сооружении)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считаются завершенными со дня осуществления их государственного кадастрового учета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 Данные положения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применяются также в отношении жилого дома или садового дома, строительство или реконструкция которых осуществлялись без получения уведомления,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предусмотренного пунктом 2 части 12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               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статьи 52 ГрК, при условии, что строительство или реконструкция указанных объектов без получения такого уведомления допускаются федеральным законом (часть 13);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–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строительство, реконструкция объектов капитального строительства не могут считаться завершенными при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несоблюдении условий, предусмотренных частями 12 и 13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                 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статьи 52 ГрК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(часть 14); 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– застройщик или иное лицо, имеющие в соответствии с законом основания для приобретения прав на здание, сооружение (помещения или машино-места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 таких здании, сооружении), для получения возможности их эксплуатации, осуществления государственного кадастрового учета и (или) государственной регистрации прав на такие здание, сооружение (помещения или машино-места в таких здании, сооружении) обязаны: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1) подготовить и направить в уполномоченный орган или организацию, указанные в статье 55 ГрК, документы, необходимые для выдачи разрешения на ввод объекта капитального строительства в эксплуатацию (в том числе документы, необходимые для осуществле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ния государственного кадастрового учета и (или) государственной регистрации прав на здание, сооружение (помещения или машино-места в таких здании, сооружении), в случае, если строительство осуществлялось на основании выданного разрешения на строительство;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13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2)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подготовить и направить в орган регистрации прав документы, необходимые для осуществления государственного кадастрового учета и (или) государственной регистрации прав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на здание, сооружение (помещения или машино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-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места в таких здании, сооружении), в случае, если для строительства или реконструкции таких здания, сооружения не требовалось получение разрешения на строительство (часть 15).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68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С учетом изложенного, в том числе положений части 14 статьи 52 ГрК, после 01.03.2025 объекты капитального с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троительства, для строительства, реконструкции которых в силу положений части 17 статьи 51 ГрК не требуется получение разрешения на строительство, в том числе жилые дома (объекты индивидуального жилищного строительства), садовые дома, строительство или рек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онструкция которых допускаются федеральным законом без получения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не являются завершенными строительством, если до указанной даты (01.03.2025) не осуществлен государственный кадастровый учет таких объектов.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68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В связи с этим, в декларации об объекте недвижимости и в техническом плане в отношении указанных в ча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сти 13 статьи 52 ГрК жилого дома или садового дома не может быть указан год завершения строительства ранее года обращения в орган регистрации прав с заявлением об осуществлении государственного кадастрового учета такого объекта капитального строительства. 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8"/>
        <w:rPr>
          <w:rFonts w:ascii="Liberation Serif" w:hAnsi="Liberation Serif" w:cs="Liberation Serif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При этом с учетом положений частей 4 и 5.1 статьи 69, статьи 71 Закона № 218-ФЗ при подготовке технического плана в отношении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ранее учтенного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здания, сооружения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</w:rPr>
        <w:t xml:space="preserve">или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 случае подготовки технического плана здания, сооружения на основании изготовленного </w:t>
      </w:r>
      <w:r>
        <w:rPr>
          <w:rFonts w:ascii="Liberation Serif" w:hAnsi="Liberation Serif" w:eastAsia="Liberation Serif" w:cs="Liberation Serif"/>
          <w:b/>
          <w:i/>
          <w:sz w:val="24"/>
          <w:szCs w:val="24"/>
          <w:u w:val="single"/>
        </w:rPr>
        <w:t xml:space="preserve">до 01.01.2013 технического паспорта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 д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опустимо указание в техническом плане года завершения строительства здания, сооружения, соответствующего году издания (выдачи) правоустанавливающего, правоудостоверяющего документа или технического паспорта такого здания, сооружения. Также допустимо указан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ие года завершения строительства исходя из содержания документов, имеющихся в распоряжении заказчика кадастровых работ, в частности, в случае подготовки технического плана в отношении объектов недвижимости, указанных соответственно в статьях 3.7, 3.8, 3.9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Закона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№ 137-ФЗ.</w:t>
      </w:r>
      <w:r>
        <w:rPr>
          <w:rFonts w:ascii="Liberation Serif" w:hAnsi="Liberation Serif" w:cs="Liberation Serif"/>
          <w:sz w:val="24"/>
          <w:szCs w:val="24"/>
          <w:highlight w:val="none"/>
        </w:rPr>
      </w:r>
      <w:r>
        <w:rPr>
          <w:rFonts w:ascii="Liberation Serif" w:hAnsi="Liberation Serif" w:cs="Liberation Serif"/>
          <w:sz w:val="24"/>
          <w:szCs w:val="24"/>
          <w:highlight w:val="none"/>
        </w:rPr>
      </w:r>
    </w:p>
    <w:p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2. В целях подтверждения иного года завершения строительства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отличного от года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государственного кадастрового учета,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кадастровыми инженерами в технический план включаются выписки из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похозяйственней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книги, выданные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ОМС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Похозяйственная книга является документом, содержащим, в том числе, данные учета расположенных в сельской местности жилых и нежилых строений, записи о собственнике строения, характеристике строения, об основании принадлежности строения правообладателю.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С учетом изложенного, в случае если похозяйственная книга содержит сведения о годе завершения строительства, выписка из похозяйственной книги, выданная ОМС, может являться документом, на основании которого в технический план вносятся год строительства?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68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Полагаем, что выписка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из похозяйственной книги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, в которой поименован в том числе жилой фонд (в частности,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жилой дом с указанием его характеристик, включая год постройки)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мож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ет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быть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использова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на в качестве основания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для указания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 техническом плане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года завершения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строительства объекта недвижимости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(в частности, жилого дома)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 соответствии с этой выпиской.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3. Планиру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ю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тся ли изменения в требованиях к подготовке технического плана в части обязанности правообладателем вносить сведения о годе завершения строительства в соответствии с требованиями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ГрК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? На территориях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ОКН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возможность постановки на учет и регистрации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прав на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объект капитального строительства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 упрощенном порядке есть только до года внесения сведений о данной территории в ЕГРН.  Год завершения строительства указывается по фактическому завершению строительства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ind w:left="23" w:firstLine="68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Да,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указанный вопрос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впоследствии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будет нормативно урегулирован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При этом в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настоящее время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 том числе применительно к вопросу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)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при указании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 техническом плане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года завершения строительства объекта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недвижимости необходимо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руководствоваться нормами закона (с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м.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также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пункт 3 таблицы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)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eastAsia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highlight w:val="none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В случае наличия в ЕГРН</w:t>
      </w:r>
      <w:r>
        <w:rPr>
          <w:rFonts w:ascii="Times New Roman" w:hAnsi="Times New Roman" w:cs="Times New Roman"/>
          <w:sz w:val="24"/>
          <w:szCs w:val="24"/>
        </w:rPr>
        <w:t xml:space="preserve"> сведений о местоположении границ смежного земельного участка (уточненные границы),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 при этом координаты характерных точек границ определены с точностью ниже нормативной </w:t>
      </w:r>
      <w:r>
        <w:rPr>
          <w:rFonts w:ascii="Times New Roman" w:hAnsi="Times New Roman" w:cs="Times New Roman"/>
          <w:sz w:val="24"/>
          <w:szCs w:val="24"/>
        </w:rPr>
        <w:t xml:space="preserve">точности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(на период уточнения соответствовали), считаются ли границы, в случае надлежащего извещения собственника и без личной подписи в акте согласования, согласованными в соответствии с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>
        <w:rPr>
          <w:rFonts w:ascii="Times New Roman" w:hAnsi="Times New Roman" w:cs="Times New Roman"/>
          <w:sz w:val="24"/>
          <w:szCs w:val="24"/>
        </w:rPr>
        <w:t xml:space="preserve">3 статьи 39 Закона 221-ФЗ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огласно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>
        <w:rPr>
          <w:rFonts w:ascii="Times New Roman" w:hAnsi="Times New Roman" w:cs="Times New Roman"/>
          <w:sz w:val="24"/>
          <w:szCs w:val="24"/>
        </w:rPr>
        <w:t xml:space="preserve">2 ст</w:t>
      </w:r>
      <w:r>
        <w:rPr>
          <w:rFonts w:ascii="Times New Roman" w:hAnsi="Times New Roman" w:cs="Times New Roman"/>
          <w:sz w:val="24"/>
          <w:szCs w:val="24"/>
        </w:rPr>
        <w:t xml:space="preserve">атьи </w:t>
      </w:r>
      <w:r>
        <w:rPr>
          <w:rFonts w:ascii="Times New Roman" w:hAnsi="Times New Roman" w:cs="Times New Roman"/>
          <w:sz w:val="24"/>
          <w:szCs w:val="24"/>
        </w:rPr>
        <w:t xml:space="preserve">43 </w:t>
      </w:r>
      <w:r>
        <w:rPr>
          <w:rFonts w:ascii="Times New Roman" w:hAnsi="Times New Roman" w:cs="Times New Roman"/>
          <w:sz w:val="24"/>
          <w:szCs w:val="24"/>
        </w:rPr>
        <w:t xml:space="preserve"> Закона № </w:t>
      </w:r>
      <w:r>
        <w:rPr>
          <w:rFonts w:ascii="Times New Roman" w:hAnsi="Times New Roman" w:cs="Times New Roman"/>
          <w:sz w:val="24"/>
          <w:szCs w:val="24"/>
        </w:rPr>
        <w:t xml:space="preserve">218-ФЗ  и п</w:t>
      </w:r>
      <w:r>
        <w:rPr>
          <w:rFonts w:ascii="Times New Roman" w:hAnsi="Times New Roman" w:cs="Times New Roman"/>
          <w:sz w:val="24"/>
          <w:szCs w:val="24"/>
        </w:rPr>
        <w:t xml:space="preserve">ункту </w:t>
      </w:r>
      <w:r>
        <w:rPr>
          <w:rFonts w:ascii="Times New Roman" w:hAnsi="Times New Roman" w:cs="Times New Roman"/>
          <w:sz w:val="24"/>
          <w:szCs w:val="24"/>
        </w:rPr>
        <w:t xml:space="preserve">61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риказа Росреестра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П/0592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?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3" w:firstLine="136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2 статьи 43 </w:t>
      </w:r>
      <w:r>
        <w:rPr>
          <w:rFonts w:ascii="Times New Roman" w:hAnsi="Times New Roman" w:cs="Times New Roman"/>
          <w:sz w:val="24"/>
          <w:szCs w:val="24"/>
        </w:rPr>
        <w:t xml:space="preserve">Закона № 218-ФЗ </w:t>
      </w:r>
      <w:r>
        <w:rPr>
          <w:rFonts w:ascii="Times New Roman" w:hAnsi="Times New Roman" w:cs="Times New Roman"/>
          <w:sz w:val="24"/>
          <w:szCs w:val="24"/>
        </w:rPr>
        <w:t xml:space="preserve">предполагает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наличие личной подписи в акте</w:t>
      </w:r>
      <w:r>
        <w:rPr>
          <w:rFonts w:ascii="Times New Roman" w:hAnsi="Times New Roman" w:cs="Times New Roman"/>
          <w:sz w:val="24"/>
          <w:szCs w:val="24"/>
        </w:rPr>
        <w:t xml:space="preserve"> согласования местоположения границ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3" w:firstLine="136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каких документов готовится технический план на </w:t>
      </w:r>
      <w:r>
        <w:rPr>
          <w:rFonts w:ascii="Times New Roman" w:hAnsi="Times New Roman" w:cs="Times New Roman"/>
          <w:sz w:val="24"/>
          <w:szCs w:val="24"/>
        </w:rPr>
        <w:t xml:space="preserve">объект незавершенного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на который не требуется выдача разрешения на строительство, учитывая положения ч</w:t>
      </w:r>
      <w:r>
        <w:rPr>
          <w:rFonts w:ascii="Times New Roman" w:hAnsi="Times New Roman" w:cs="Times New Roman"/>
          <w:sz w:val="24"/>
          <w:szCs w:val="24"/>
        </w:rPr>
        <w:t xml:space="preserve">асти</w:t>
      </w:r>
      <w:r>
        <w:rPr>
          <w:rFonts w:ascii="Times New Roman" w:hAnsi="Times New Roman" w:cs="Times New Roman"/>
          <w:sz w:val="24"/>
          <w:szCs w:val="24"/>
        </w:rPr>
        <w:t xml:space="preserve"> 9 ст</w:t>
      </w:r>
      <w:r>
        <w:rPr>
          <w:rFonts w:ascii="Times New Roman" w:hAnsi="Times New Roman" w:cs="Times New Roman"/>
          <w:sz w:val="24"/>
          <w:szCs w:val="24"/>
        </w:rPr>
        <w:t xml:space="preserve">атьи</w:t>
      </w:r>
      <w:r>
        <w:rPr>
          <w:rFonts w:ascii="Times New Roman" w:hAnsi="Times New Roman" w:cs="Times New Roman"/>
          <w:sz w:val="24"/>
          <w:szCs w:val="24"/>
        </w:rPr>
        <w:t xml:space="preserve"> 24 Закона </w:t>
      </w:r>
      <w:r>
        <w:rPr>
          <w:rFonts w:ascii="Times New Roman" w:hAnsi="Times New Roman" w:cs="Times New Roman"/>
          <w:sz w:val="24"/>
          <w:szCs w:val="24"/>
        </w:rPr>
        <w:t xml:space="preserve">№ 218-ФЗ </w:t>
      </w:r>
      <w:r>
        <w:rPr>
          <w:rFonts w:ascii="Times New Roman" w:hAnsi="Times New Roman" w:cs="Times New Roman"/>
          <w:sz w:val="24"/>
          <w:szCs w:val="24"/>
        </w:rPr>
        <w:t xml:space="preserve">?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23" w:firstLine="136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д</w:t>
      </w:r>
      <w:r>
        <w:rPr>
          <w:rFonts w:ascii="Times New Roman" w:hAnsi="Times New Roman" w:cs="Times New Roman"/>
          <w:sz w:val="24"/>
          <w:szCs w:val="24"/>
        </w:rPr>
        <w:t xml:space="preserve">екларации</w:t>
      </w:r>
      <w:r>
        <w:rPr>
          <w:rFonts w:ascii="Times New Roman" w:hAnsi="Times New Roman" w:cs="Times New Roman"/>
          <w:sz w:val="24"/>
          <w:szCs w:val="24"/>
        </w:rPr>
        <w:t xml:space="preserve"> об объекте недвижимости.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Выдел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в счет пая. В исходном </w:t>
      </w:r>
      <w:r>
        <w:rPr>
          <w:rFonts w:ascii="Times New Roman" w:hAnsi="Times New Roman" w:cs="Times New Roman"/>
          <w:sz w:val="24"/>
          <w:szCs w:val="24"/>
        </w:rPr>
        <w:t xml:space="preserve">земельном участке</w:t>
      </w:r>
      <w:r>
        <w:rPr>
          <w:rFonts w:ascii="Times New Roman" w:hAnsi="Times New Roman" w:cs="Times New Roman"/>
          <w:sz w:val="24"/>
          <w:szCs w:val="24"/>
        </w:rPr>
        <w:t xml:space="preserve"> - осталась только площадь для выдела последнего пая. Как образовать </w:t>
      </w:r>
      <w:r>
        <w:rPr>
          <w:rFonts w:ascii="Times New Roman" w:hAnsi="Times New Roman" w:cs="Times New Roman"/>
          <w:sz w:val="24"/>
          <w:szCs w:val="24"/>
        </w:rPr>
        <w:t xml:space="preserve">земельный участок</w:t>
      </w:r>
      <w:r>
        <w:rPr>
          <w:rFonts w:ascii="Times New Roman" w:hAnsi="Times New Roman" w:cs="Times New Roman"/>
          <w:sz w:val="24"/>
          <w:szCs w:val="24"/>
        </w:rPr>
        <w:t xml:space="preserve"> в счет выдела пос</w:t>
      </w:r>
      <w:r>
        <w:rPr>
          <w:rFonts w:ascii="Times New Roman" w:hAnsi="Times New Roman" w:cs="Times New Roman"/>
          <w:sz w:val="24"/>
          <w:szCs w:val="24"/>
        </w:rPr>
        <w:t xml:space="preserve">леднего пая - согласно ЗК это у</w:t>
      </w:r>
      <w:r>
        <w:rPr>
          <w:rFonts w:ascii="Times New Roman" w:hAnsi="Times New Roman" w:cs="Times New Roman"/>
          <w:sz w:val="24"/>
          <w:szCs w:val="24"/>
        </w:rPr>
        <w:t xml:space="preserve">же не будет соответствовать понятию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выдел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исходный не изменяется, а фактически прекращается. Может ли это быть выдел по </w:t>
      </w:r>
      <w:r>
        <w:rPr>
          <w:rFonts w:ascii="Times New Roman" w:hAnsi="Times New Roman" w:cs="Times New Roman"/>
          <w:sz w:val="24"/>
          <w:szCs w:val="24"/>
        </w:rPr>
        <w:t xml:space="preserve">Закону № </w:t>
      </w:r>
      <w:r>
        <w:rPr>
          <w:rFonts w:ascii="Times New Roman" w:hAnsi="Times New Roman" w:cs="Times New Roman"/>
          <w:sz w:val="24"/>
          <w:szCs w:val="24"/>
        </w:rPr>
        <w:t xml:space="preserve">101-ФЗ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необходимо ли образовать новый земельный участок</w:t>
      </w:r>
      <w:r>
        <w:rPr>
          <w:rFonts w:ascii="Times New Roman" w:hAnsi="Times New Roman" w:cs="Times New Roman"/>
          <w:sz w:val="24"/>
          <w:szCs w:val="24"/>
        </w:rPr>
        <w:t xml:space="preserve">, равный исходному, или регистрировать права на исходный</w:t>
      </w:r>
      <w:r>
        <w:rPr>
          <w:rFonts w:ascii="Times New Roman" w:hAnsi="Times New Roman" w:cs="Times New Roman"/>
          <w:sz w:val="24"/>
          <w:szCs w:val="24"/>
        </w:rPr>
        <w:t xml:space="preserve">?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3" w:firstLine="1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Полагаем, что в таком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</w:t>
      </w:r>
      <w:r>
        <w:rPr>
          <w:rFonts w:ascii="Times New Roman" w:hAnsi="Times New Roman" w:cs="Times New Roman"/>
          <w:sz w:val="24"/>
          <w:szCs w:val="24"/>
        </w:rPr>
        <w:t xml:space="preserve">ание нового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не является обязательным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 xml:space="preserve">исходный (оставшийся) земельный участок </w:t>
      </w:r>
      <w:r>
        <w:rPr>
          <w:rFonts w:ascii="Times New Roman" w:hAnsi="Times New Roman" w:cs="Times New Roman"/>
          <w:sz w:val="24"/>
          <w:szCs w:val="24"/>
        </w:rPr>
        <w:t xml:space="preserve">регистрируется </w:t>
      </w:r>
      <w:r>
        <w:rPr>
          <w:rFonts w:ascii="Times New Roman" w:hAnsi="Times New Roman" w:cs="Times New Roman"/>
          <w:sz w:val="24"/>
          <w:szCs w:val="24"/>
        </w:rPr>
        <w:t xml:space="preserve">право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лица – собственника последнего оставшегося пая.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23" w:firstLine="1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23" w:firstLine="1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both"/>
      </w:pPr>
      <w:r>
        <w:rPr>
          <w:highlight w:val="none"/>
        </w:rPr>
      </w:r>
      <w:r>
        <w:rPr>
          <w:highlight w:val="none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425" w:right="850" w:bottom="539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45"/>
        <w:rPr>
          <w:rFonts w:ascii="Times New Roman" w:hAnsi="Times New Roman" w:cs="Times New Roman"/>
          <w:sz w:val="16"/>
          <w:szCs w:val="16"/>
        </w:rPr>
      </w:pPr>
      <w:r>
        <w:rPr>
          <w:rStyle w:val="84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Саморегулируемая организация.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3">
    <w:p>
      <w:pPr>
        <w:pStyle w:val="845"/>
        <w:rPr>
          <w:rFonts w:ascii="Times New Roman" w:hAnsi="Times New Roman" w:cs="Times New Roman"/>
          <w:sz w:val="16"/>
          <w:szCs w:val="16"/>
        </w:rPr>
      </w:pPr>
      <w:r>
        <w:rPr>
          <w:rStyle w:val="84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Требования к подготовке технического плана и состав содержащихся в нем сведений, утвержденные приказом Росреестра от 15.03.2022 № П/0082.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4">
    <w:p>
      <w:pPr>
        <w:pStyle w:val="845"/>
        <w:rPr>
          <w:rFonts w:ascii="Times New Roman" w:hAnsi="Times New Roman" w:cs="Times New Roman"/>
          <w:sz w:val="16"/>
          <w:szCs w:val="16"/>
        </w:rPr>
      </w:pPr>
      <w:r>
        <w:rPr>
          <w:rStyle w:val="84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Федеральный закон от 26.12.2024 № 487-ФЗ «О внесении изменений в отдельные законодательные акты Российской Федерации».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5">
    <w:p>
      <w:pPr>
        <w:pStyle w:val="845"/>
        <w:rPr>
          <w:rFonts w:ascii="Times New Roman" w:hAnsi="Times New Roman" w:cs="Times New Roman"/>
          <w:sz w:val="16"/>
          <w:szCs w:val="16"/>
        </w:rPr>
      </w:pPr>
      <w:r>
        <w:rPr>
          <w:rStyle w:val="84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Градостроительный кодекс Российской Федерации.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2"/>
      <w:jc w:val="center"/>
    </w:pPr>
    <w:r/>
    <w:r/>
  </w:p>
  <w:p>
    <w:pPr>
      <w:pStyle w:val="71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808080"/>
        <w:sz w:val="18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808080"/>
        <w:sz w:val="18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808080"/>
        <w:sz w:val="18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808080"/>
        <w:sz w:val="18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808080"/>
        <w:sz w:val="18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808080"/>
        <w:sz w:val="18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808080"/>
        <w:sz w:val="18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808080"/>
        <w:sz w:val="18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808080"/>
        <w:sz w:val="18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2"/>
    <w:next w:val="862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2"/>
    <w:next w:val="862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2"/>
    <w:next w:val="862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2"/>
    <w:next w:val="862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Title"/>
    <w:basedOn w:val="862"/>
    <w:next w:val="862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link w:val="704"/>
    <w:uiPriority w:val="10"/>
    <w:rPr>
      <w:sz w:val="48"/>
      <w:szCs w:val="48"/>
    </w:rPr>
  </w:style>
  <w:style w:type="paragraph" w:styleId="706">
    <w:name w:val="Subtitle"/>
    <w:basedOn w:val="862"/>
    <w:next w:val="862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link w:val="706"/>
    <w:uiPriority w:val="11"/>
    <w:rPr>
      <w:sz w:val="24"/>
      <w:szCs w:val="24"/>
    </w:rPr>
  </w:style>
  <w:style w:type="paragraph" w:styleId="708">
    <w:name w:val="Quote"/>
    <w:basedOn w:val="862"/>
    <w:next w:val="862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2"/>
    <w:next w:val="862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paragraph" w:styleId="712">
    <w:name w:val="Header"/>
    <w:basedOn w:val="862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Header Char"/>
    <w:link w:val="712"/>
    <w:uiPriority w:val="99"/>
  </w:style>
  <w:style w:type="paragraph" w:styleId="714">
    <w:name w:val="Footer"/>
    <w:basedOn w:val="862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Footer Char"/>
    <w:link w:val="714"/>
    <w:uiPriority w:val="99"/>
  </w:style>
  <w:style w:type="paragraph" w:styleId="716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basedOn w:val="716"/>
    <w:link w:val="714"/>
    <w:uiPriority w:val="99"/>
  </w:style>
  <w:style w:type="table" w:styleId="718">
    <w:name w:val="Table Grid"/>
    <w:basedOn w:val="8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8">
    <w:name w:val="List Table 7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9">
    <w:name w:val="List Table 7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0">
    <w:name w:val="List Table 7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1">
    <w:name w:val="List Table 7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2">
    <w:name w:val="List Table 7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3">
    <w:name w:val="Lined - Accent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5">
    <w:name w:val="Lined - Accent 2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6">
    <w:name w:val="Lined - Accent 3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7">
    <w:name w:val="Lined - Accent 4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8">
    <w:name w:val="Lined - Accent 5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9">
    <w:name w:val="Lined - Accent 6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0">
    <w:name w:val="Bordered &amp; Lined - Accent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2">
    <w:name w:val="Bordered &amp; Lined - Accent 2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3">
    <w:name w:val="Bordered &amp; Lined - Accent 3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4">
    <w:name w:val="Bordered &amp; Lined - Accent 4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5">
    <w:name w:val="Bordered &amp; Lined - Accent 5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6">
    <w:name w:val="Bordered &amp; Lined - Accent 6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7">
    <w:name w:val="Bordered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</w:style>
  <w:style w:type="table" w:styleId="8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4" w:default="1">
    <w:name w:val="No List"/>
    <w:uiPriority w:val="99"/>
    <w:semiHidden/>
    <w:unhideWhenUsed/>
  </w:style>
  <w:style w:type="paragraph" w:styleId="865">
    <w:name w:val="No Spacing"/>
    <w:basedOn w:val="862"/>
    <w:uiPriority w:val="1"/>
    <w:qFormat/>
    <w:pPr>
      <w:spacing w:after="0" w:line="240" w:lineRule="auto"/>
    </w:pPr>
  </w:style>
  <w:style w:type="paragraph" w:styleId="866">
    <w:name w:val="List Paragraph"/>
    <w:basedOn w:val="862"/>
    <w:uiPriority w:val="34"/>
    <w:qFormat/>
    <w:pPr>
      <w:contextualSpacing/>
      <w:ind w:left="720"/>
    </w:pPr>
  </w:style>
  <w:style w:type="character" w:styleId="867" w:default="1">
    <w:name w:val="Default Paragraph Font"/>
    <w:uiPriority w:val="1"/>
    <w:semiHidden/>
    <w:unhideWhenUsed/>
  </w:style>
  <w:style w:type="paragraph" w:styleId="868" w:customStyle="1">
    <w:name w:val="Body Text"/>
    <w:basedOn w:val="865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69" w:customStyle="1">
    <w:name w:val="Table Paragraph"/>
    <w:basedOn w:val="865"/>
    <w:uiPriority w:val="1"/>
    <w:qFormat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21</cp:revision>
  <dcterms:modified xsi:type="dcterms:W3CDTF">2025-12-29T13:09:44Z</dcterms:modified>
</cp:coreProperties>
</file>